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3B3" w:rsidRPr="00085D30" w:rsidRDefault="00D953B3" w:rsidP="00085D30">
      <w:pPr>
        <w:spacing w:line="480" w:lineRule="auto"/>
        <w:rPr>
          <w:rFonts w:ascii="Times New Roman" w:hAnsi="Times New Roman" w:cs="Times New Roman"/>
          <w:sz w:val="24"/>
          <w:szCs w:val="24"/>
        </w:rPr>
      </w:pPr>
      <w:r w:rsidRPr="00085D30">
        <w:rPr>
          <w:rFonts w:ascii="Times New Roman" w:hAnsi="Times New Roman" w:cs="Times New Roman"/>
          <w:sz w:val="24"/>
          <w:szCs w:val="24"/>
        </w:rPr>
        <w:t>Name.</w:t>
      </w:r>
    </w:p>
    <w:p w:rsidR="00D953B3" w:rsidRPr="00085D30" w:rsidRDefault="00D953B3" w:rsidP="00085D30">
      <w:pPr>
        <w:spacing w:line="480" w:lineRule="auto"/>
        <w:rPr>
          <w:rFonts w:ascii="Times New Roman" w:hAnsi="Times New Roman" w:cs="Times New Roman"/>
          <w:sz w:val="24"/>
          <w:szCs w:val="24"/>
        </w:rPr>
      </w:pPr>
      <w:r w:rsidRPr="00085D30">
        <w:rPr>
          <w:rFonts w:ascii="Times New Roman" w:hAnsi="Times New Roman" w:cs="Times New Roman"/>
          <w:sz w:val="24"/>
          <w:szCs w:val="24"/>
        </w:rPr>
        <w:t>Tutor.</w:t>
      </w:r>
    </w:p>
    <w:p w:rsidR="00D953B3" w:rsidRPr="00085D30" w:rsidRDefault="00D953B3" w:rsidP="00085D30">
      <w:pPr>
        <w:spacing w:line="480" w:lineRule="auto"/>
        <w:rPr>
          <w:rFonts w:ascii="Times New Roman" w:hAnsi="Times New Roman" w:cs="Times New Roman"/>
          <w:sz w:val="24"/>
          <w:szCs w:val="24"/>
        </w:rPr>
      </w:pPr>
      <w:r w:rsidRPr="00085D30">
        <w:rPr>
          <w:rFonts w:ascii="Times New Roman" w:hAnsi="Times New Roman" w:cs="Times New Roman"/>
          <w:sz w:val="24"/>
          <w:szCs w:val="24"/>
        </w:rPr>
        <w:t>Course.</w:t>
      </w:r>
    </w:p>
    <w:p w:rsidR="00D953B3" w:rsidRPr="00085D30" w:rsidRDefault="00D953B3" w:rsidP="00085D30">
      <w:pPr>
        <w:spacing w:line="480" w:lineRule="auto"/>
        <w:rPr>
          <w:rFonts w:ascii="Times New Roman" w:hAnsi="Times New Roman" w:cs="Times New Roman"/>
          <w:sz w:val="24"/>
          <w:szCs w:val="24"/>
        </w:rPr>
      </w:pPr>
      <w:r w:rsidRPr="00085D30">
        <w:rPr>
          <w:rFonts w:ascii="Times New Roman" w:hAnsi="Times New Roman" w:cs="Times New Roman"/>
          <w:sz w:val="24"/>
          <w:szCs w:val="24"/>
        </w:rPr>
        <w:t>Date.</w:t>
      </w:r>
    </w:p>
    <w:p w:rsidR="00085D30" w:rsidRPr="00085D30" w:rsidRDefault="00085D30" w:rsidP="00085D30">
      <w:pPr>
        <w:spacing w:line="480" w:lineRule="auto"/>
        <w:jc w:val="center"/>
        <w:rPr>
          <w:rFonts w:ascii="Times New Roman" w:hAnsi="Times New Roman" w:cs="Times New Roman"/>
          <w:color w:val="222222"/>
          <w:sz w:val="24"/>
          <w:szCs w:val="24"/>
          <w:shd w:val="clear" w:color="auto" w:fill="FFFFFF"/>
        </w:rPr>
      </w:pPr>
      <w:r w:rsidRPr="00085D30">
        <w:rPr>
          <w:rFonts w:ascii="Times New Roman" w:hAnsi="Times New Roman" w:cs="Times New Roman"/>
          <w:color w:val="222222"/>
          <w:sz w:val="24"/>
          <w:szCs w:val="24"/>
          <w:shd w:val="clear" w:color="auto" w:fill="FFFFFF"/>
        </w:rPr>
        <w:t>Topic Three: The Controversy over Female Genital Mutilation.</w:t>
      </w:r>
    </w:p>
    <w:p w:rsidR="00085D30" w:rsidRPr="00085D30" w:rsidRDefault="00085D30" w:rsidP="00085D30">
      <w:pPr>
        <w:spacing w:line="480" w:lineRule="auto"/>
        <w:ind w:firstLine="720"/>
        <w:rPr>
          <w:rFonts w:ascii="Times New Roman" w:hAnsi="Times New Roman" w:cs="Times New Roman"/>
          <w:color w:val="222222"/>
          <w:sz w:val="24"/>
          <w:szCs w:val="24"/>
          <w:shd w:val="clear" w:color="auto" w:fill="FFFFFF"/>
        </w:rPr>
      </w:pPr>
      <w:r w:rsidRPr="00085D30">
        <w:rPr>
          <w:rFonts w:ascii="Times New Roman" w:hAnsi="Times New Roman" w:cs="Times New Roman"/>
          <w:color w:val="222222"/>
          <w:sz w:val="24"/>
          <w:szCs w:val="24"/>
          <w:shd w:val="clear" w:color="auto" w:fill="FFFFFF"/>
        </w:rPr>
        <w:t>The importance of preserving a society's traditional as well as cultural values is underscored by many critics and as evident, different communities embrace diversified cultural values.  It is important for cultural practices, standards, ideals, and values to be preserved for the future generation and this is supported by the assertion that culture is used as an important aspect of identity. Due to the differences in cultural practices, conflicts usually arise among different societies with some purporting that their cultures are superior, modernized, and dynamic and subsequently regard other people's cultures as inferior and primitive. Female genital mutilation is one of the cultural practices which have raised controversy between the conservative and the dynamic communities. Female genital mutilation is arguably practiced in 29 countries in the global perspective, but it is dominant in sub-Saharan Africa, parts of Arabia, Europe, and North America due to increased immigrant, interaction and exchange 0f culture (Shweder 209). Female Genital Mutilation is apparently a very controversial practice with those who support it citing cultural, religious, identity and marriage reasons while those who oppose it cite primitivism, sexual, physical, psychological and reproductive challenges on girls and women.</w:t>
      </w:r>
    </w:p>
    <w:p w:rsidR="00085D30" w:rsidRPr="00085D30" w:rsidRDefault="00085D30" w:rsidP="00085D30">
      <w:pPr>
        <w:spacing w:line="480" w:lineRule="auto"/>
        <w:ind w:firstLine="720"/>
        <w:rPr>
          <w:rFonts w:ascii="Times New Roman" w:hAnsi="Times New Roman" w:cs="Times New Roman"/>
          <w:color w:val="222222"/>
          <w:sz w:val="24"/>
          <w:szCs w:val="24"/>
          <w:shd w:val="clear" w:color="auto" w:fill="FFFFFF"/>
        </w:rPr>
      </w:pPr>
      <w:r w:rsidRPr="00085D30">
        <w:rPr>
          <w:rFonts w:ascii="Times New Roman" w:hAnsi="Times New Roman" w:cs="Times New Roman"/>
          <w:color w:val="222222"/>
          <w:sz w:val="24"/>
          <w:szCs w:val="24"/>
          <w:shd w:val="clear" w:color="auto" w:fill="FFFFFF"/>
        </w:rPr>
        <w:t xml:space="preserve">Female genital mutilation might seem like a primitive practice, but statistics from researchers prove otherwise. The World Health Organization asserts that at least one girl is </w:t>
      </w:r>
      <w:r w:rsidRPr="00085D30">
        <w:rPr>
          <w:rFonts w:ascii="Times New Roman" w:hAnsi="Times New Roman" w:cs="Times New Roman"/>
          <w:color w:val="222222"/>
          <w:sz w:val="24"/>
          <w:szCs w:val="24"/>
          <w:shd w:val="clear" w:color="auto" w:fill="FFFFFF"/>
        </w:rPr>
        <w:lastRenderedPageBreak/>
        <w:t>subjected to FGM every ten seconds and currently, 150 million girls and women are living with the consequences of FGM (Shweder 210). Activists, governments, and agencies have been striving to fight against this practice, but a breakthrough has not yet been achieved. Those who support it assert that it is a cultural practice which marks their identity, preserves virginity, guarantees marriage and it is a way of maintaining femininity. The cultural notions of FGM are solid with the communities which practice it asserting that it is bodily aesthetic which defines femininity and women who undergo it are seen as ideal for marriage. In some societies, girls, and women who do not comply with the practice arguably commit social ostracism and are therefore alienated from their members.</w:t>
      </w:r>
    </w:p>
    <w:p w:rsidR="00085D30" w:rsidRPr="00085D30" w:rsidRDefault="00085D30" w:rsidP="00085D30">
      <w:pPr>
        <w:spacing w:line="480" w:lineRule="auto"/>
        <w:ind w:firstLine="720"/>
        <w:rPr>
          <w:rFonts w:ascii="Times New Roman" w:hAnsi="Times New Roman" w:cs="Times New Roman"/>
          <w:color w:val="222222"/>
          <w:sz w:val="24"/>
          <w:szCs w:val="24"/>
          <w:shd w:val="clear" w:color="auto" w:fill="FFFFFF"/>
        </w:rPr>
      </w:pPr>
      <w:r w:rsidRPr="00085D30">
        <w:rPr>
          <w:rFonts w:ascii="Times New Roman" w:hAnsi="Times New Roman" w:cs="Times New Roman"/>
          <w:color w:val="222222"/>
          <w:sz w:val="24"/>
          <w:szCs w:val="24"/>
          <w:shd w:val="clear" w:color="auto" w:fill="FFFFFF"/>
        </w:rPr>
        <w:t>Some communities such as the Abagusii, Maasai, Samburu and Turkana of Kenya and the Azawagh of Niger among others support this practice with the assertion that it is a mark of purity and girls who undergo through it are alienated from promiscuous behaviour (Yount 338). The general assertion is that when girls undergo the practice, their sexual desires are limited, and hence these girls grow in purity and morality. These communities also believe that girls who undergo the practice have a very high probability of retaining their virginity and hence, they become responsible wives in future. In most cases, such communities only focus on what their societies teach them and do not want to embrace change. The overall assertion is that if a girl evades the practice, she will not attract a suitable suitor for marriage. Generally, FGM is regarded as a very critical cultural practice as well as a rite of passage, and hence, girls are required to embrace it. Some mothers who have also undergone through the practice also coerce their daughters into the same and the statement "like mother like daughter" has developed in some communities" (Yount 338).</w:t>
      </w:r>
    </w:p>
    <w:p w:rsidR="00085D30" w:rsidRPr="00085D30" w:rsidRDefault="00085D30" w:rsidP="00085D30">
      <w:pPr>
        <w:spacing w:line="480" w:lineRule="auto"/>
        <w:ind w:firstLine="720"/>
        <w:rPr>
          <w:rFonts w:ascii="Times New Roman" w:hAnsi="Times New Roman" w:cs="Times New Roman"/>
          <w:color w:val="222222"/>
          <w:sz w:val="24"/>
          <w:szCs w:val="24"/>
          <w:shd w:val="clear" w:color="auto" w:fill="FFFFFF"/>
        </w:rPr>
      </w:pPr>
      <w:r w:rsidRPr="00085D30">
        <w:rPr>
          <w:rFonts w:ascii="Times New Roman" w:hAnsi="Times New Roman" w:cs="Times New Roman"/>
          <w:color w:val="222222"/>
          <w:sz w:val="24"/>
          <w:szCs w:val="24"/>
          <w:shd w:val="clear" w:color="auto" w:fill="FFFFFF"/>
        </w:rPr>
        <w:lastRenderedPageBreak/>
        <w:t>As evident, the communities which embrace FGM do so to meet their purported cultural standards as well as values. On the other hand, FGM has raised critical criticism from the dynamic societies, feminists, governments, human rights agencies, educators, and activists. There is a current debate over FGM and those who oppose it cite physical, psychological, sexual and reproductive implications on young girls and mothers. In most cases, FGM is performed at home by older adults who are not sensitive about its overall implications. This practice is usually practiced under unhygienic conditions, and the use of blunt and sterilized objects is very apparent (Walley 407). Due to lack of medical expertise, the girls are usually subjected to pain, infections, and bleeding which sometimes lead to death. The WHO asserts that at least 70 girls out of 1000 who are subjected to FGM die as a result (Walley 409). In most cases, women who undergo the practice are usually coerced, and this leads to psychological trauma and complications such as neurosis and depression. The word "mutilation" refers to an aspect of destruction, and in the case of FGM, girls' and womens' reproductive organs are tampered with, and this subjects them to reproductive challenges. Those who oppose this practice also cite cases of inhumanity and primitivism.</w:t>
      </w:r>
    </w:p>
    <w:p w:rsidR="00085D30" w:rsidRPr="00085D30" w:rsidRDefault="00085D30" w:rsidP="00085D30">
      <w:pPr>
        <w:spacing w:line="480" w:lineRule="auto"/>
        <w:ind w:firstLine="720"/>
        <w:rPr>
          <w:rFonts w:ascii="Times New Roman" w:hAnsi="Times New Roman" w:cs="Times New Roman"/>
          <w:color w:val="222222"/>
          <w:sz w:val="24"/>
          <w:szCs w:val="24"/>
          <w:shd w:val="clear" w:color="auto" w:fill="FFFFFF"/>
        </w:rPr>
      </w:pPr>
      <w:r w:rsidRPr="00085D30">
        <w:rPr>
          <w:rFonts w:ascii="Times New Roman" w:hAnsi="Times New Roman" w:cs="Times New Roman"/>
          <w:color w:val="222222"/>
          <w:sz w:val="24"/>
          <w:szCs w:val="24"/>
          <w:shd w:val="clear" w:color="auto" w:fill="FFFFFF"/>
        </w:rPr>
        <w:t xml:space="preserve">To sum up, it is evident that the controversy which circulates around FGM is motivated by the desire of some communities to preserve their cultural values and ideals and the need of other institutions, activists, and agencies to embrace change and developmental values. Many countries have been struggling to bring the practice to an ultimate end, but this has not been possible. Despite the fact that FGM is regarded as a cultural aspect which preserves the morality of girls and accords them an identity, all the communities which embrace it should be vigilant and sensitive about its adverse physical, psychological, health and reproductive consequences on </w:t>
      </w:r>
      <w:r w:rsidRPr="00085D30">
        <w:rPr>
          <w:rFonts w:ascii="Times New Roman" w:hAnsi="Times New Roman" w:cs="Times New Roman"/>
          <w:color w:val="222222"/>
          <w:sz w:val="24"/>
          <w:szCs w:val="24"/>
          <w:shd w:val="clear" w:color="auto" w:fill="FFFFFF"/>
        </w:rPr>
        <w:lastRenderedPageBreak/>
        <w:t>the girls and women. The WHO regards FGM as a  critical violation towards human rights and recommends for the persecution of those who are liable.</w:t>
      </w: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Default="00085D30" w:rsidP="00085D30">
      <w:pPr>
        <w:spacing w:line="480" w:lineRule="auto"/>
        <w:jc w:val="center"/>
        <w:rPr>
          <w:rFonts w:ascii="Times New Roman" w:hAnsi="Times New Roman" w:cs="Times New Roman"/>
          <w:color w:val="222222"/>
          <w:sz w:val="24"/>
          <w:szCs w:val="24"/>
          <w:shd w:val="clear" w:color="auto" w:fill="FFFFFF"/>
        </w:rPr>
      </w:pPr>
    </w:p>
    <w:p w:rsidR="00085D30" w:rsidRPr="00085D30" w:rsidRDefault="00085D30" w:rsidP="00085D30">
      <w:pPr>
        <w:spacing w:line="480" w:lineRule="auto"/>
        <w:jc w:val="center"/>
        <w:rPr>
          <w:rFonts w:ascii="Times New Roman" w:hAnsi="Times New Roman" w:cs="Times New Roman"/>
          <w:color w:val="222222"/>
          <w:sz w:val="24"/>
          <w:szCs w:val="24"/>
          <w:shd w:val="clear" w:color="auto" w:fill="FFFFFF"/>
        </w:rPr>
      </w:pPr>
      <w:r w:rsidRPr="00085D30">
        <w:rPr>
          <w:rFonts w:ascii="Times New Roman" w:hAnsi="Times New Roman" w:cs="Times New Roman"/>
          <w:color w:val="222222"/>
          <w:sz w:val="24"/>
          <w:szCs w:val="24"/>
          <w:shd w:val="clear" w:color="auto" w:fill="FFFFFF"/>
        </w:rPr>
        <w:lastRenderedPageBreak/>
        <w:t>Works Cited.</w:t>
      </w:r>
    </w:p>
    <w:p w:rsidR="00F961E4" w:rsidRPr="00085D30" w:rsidRDefault="00F961E4" w:rsidP="00085D30">
      <w:pPr>
        <w:spacing w:line="480" w:lineRule="auto"/>
        <w:ind w:left="720" w:hanging="720"/>
        <w:rPr>
          <w:rFonts w:ascii="Times New Roman" w:hAnsi="Times New Roman" w:cs="Times New Roman"/>
          <w:color w:val="222222"/>
          <w:sz w:val="24"/>
          <w:szCs w:val="24"/>
          <w:shd w:val="clear" w:color="auto" w:fill="FFFFFF"/>
        </w:rPr>
      </w:pPr>
      <w:r w:rsidRPr="00085D30">
        <w:rPr>
          <w:rFonts w:ascii="Times New Roman" w:hAnsi="Times New Roman" w:cs="Times New Roman"/>
          <w:color w:val="222222"/>
          <w:sz w:val="24"/>
          <w:szCs w:val="24"/>
          <w:shd w:val="clear" w:color="auto" w:fill="FFFFFF"/>
        </w:rPr>
        <w:t>Shweder, Richard A. "What about" female genital mutilation"? And why understanding culture matters in the first place." </w:t>
      </w:r>
      <w:r w:rsidRPr="00085D30">
        <w:rPr>
          <w:rFonts w:ascii="Times New Roman" w:hAnsi="Times New Roman" w:cs="Times New Roman"/>
          <w:i/>
          <w:iCs/>
          <w:color w:val="222222"/>
          <w:sz w:val="24"/>
          <w:szCs w:val="24"/>
          <w:shd w:val="clear" w:color="auto" w:fill="FFFFFF"/>
        </w:rPr>
        <w:t>Daedalus</w:t>
      </w:r>
      <w:r w:rsidRPr="00085D30">
        <w:rPr>
          <w:rFonts w:ascii="Times New Roman" w:hAnsi="Times New Roman" w:cs="Times New Roman"/>
          <w:color w:val="222222"/>
          <w:sz w:val="24"/>
          <w:szCs w:val="24"/>
          <w:shd w:val="clear" w:color="auto" w:fill="FFFFFF"/>
        </w:rPr>
        <w:t> 129.4 (2015): 209-232.</w:t>
      </w:r>
    </w:p>
    <w:p w:rsidR="00F961E4" w:rsidRPr="00085D30" w:rsidRDefault="00F961E4" w:rsidP="00085D30">
      <w:pPr>
        <w:spacing w:line="480" w:lineRule="auto"/>
        <w:ind w:left="720" w:hanging="720"/>
        <w:rPr>
          <w:rFonts w:ascii="Times New Roman" w:hAnsi="Times New Roman" w:cs="Times New Roman"/>
          <w:color w:val="222222"/>
          <w:sz w:val="24"/>
          <w:szCs w:val="24"/>
          <w:shd w:val="clear" w:color="auto" w:fill="FFFFFF"/>
        </w:rPr>
      </w:pPr>
      <w:r w:rsidRPr="00085D30">
        <w:rPr>
          <w:rFonts w:ascii="Times New Roman" w:hAnsi="Times New Roman" w:cs="Times New Roman"/>
          <w:color w:val="222222"/>
          <w:sz w:val="24"/>
          <w:szCs w:val="24"/>
          <w:shd w:val="clear" w:color="auto" w:fill="FFFFFF"/>
        </w:rPr>
        <w:t>Walley, Christine J. "Searching for" voices": Feminism, anthropology, and the global debate over female genital operations." </w:t>
      </w:r>
      <w:r w:rsidRPr="00085D30">
        <w:rPr>
          <w:rFonts w:ascii="Times New Roman" w:hAnsi="Times New Roman" w:cs="Times New Roman"/>
          <w:i/>
          <w:iCs/>
          <w:color w:val="222222"/>
          <w:sz w:val="24"/>
          <w:szCs w:val="24"/>
          <w:shd w:val="clear" w:color="auto" w:fill="FFFFFF"/>
        </w:rPr>
        <w:t>Cultural Anthropology</w:t>
      </w:r>
      <w:r w:rsidRPr="00085D30">
        <w:rPr>
          <w:rFonts w:ascii="Times New Roman" w:hAnsi="Times New Roman" w:cs="Times New Roman"/>
          <w:color w:val="222222"/>
          <w:sz w:val="24"/>
          <w:szCs w:val="24"/>
          <w:shd w:val="clear" w:color="auto" w:fill="FFFFFF"/>
        </w:rPr>
        <w:t> 12.3 (2016): 405-438.</w:t>
      </w:r>
    </w:p>
    <w:p w:rsidR="00F961E4" w:rsidRPr="00085D30" w:rsidRDefault="00F961E4" w:rsidP="00085D30">
      <w:pPr>
        <w:spacing w:line="480" w:lineRule="auto"/>
        <w:ind w:left="720" w:hanging="720"/>
        <w:rPr>
          <w:rFonts w:ascii="Times New Roman" w:hAnsi="Times New Roman" w:cs="Times New Roman"/>
          <w:sz w:val="24"/>
          <w:szCs w:val="24"/>
        </w:rPr>
      </w:pPr>
      <w:r w:rsidRPr="00085D30">
        <w:rPr>
          <w:rFonts w:ascii="Times New Roman" w:hAnsi="Times New Roman" w:cs="Times New Roman"/>
          <w:color w:val="222222"/>
          <w:sz w:val="24"/>
          <w:szCs w:val="24"/>
          <w:shd w:val="clear" w:color="auto" w:fill="FFFFFF"/>
        </w:rPr>
        <w:t>Yount, Kathryn M. "Like mother, like daughter? Female genital cutting in Minia, Egypt." </w:t>
      </w:r>
      <w:r w:rsidRPr="00085D30">
        <w:rPr>
          <w:rFonts w:ascii="Times New Roman" w:hAnsi="Times New Roman" w:cs="Times New Roman"/>
          <w:i/>
          <w:iCs/>
          <w:color w:val="222222"/>
          <w:sz w:val="24"/>
          <w:szCs w:val="24"/>
          <w:shd w:val="clear" w:color="auto" w:fill="FFFFFF"/>
        </w:rPr>
        <w:t>Journal of Health and Social Behavior</w:t>
      </w:r>
      <w:r w:rsidRPr="00085D30">
        <w:rPr>
          <w:rFonts w:ascii="Times New Roman" w:hAnsi="Times New Roman" w:cs="Times New Roman"/>
          <w:color w:val="222222"/>
          <w:sz w:val="24"/>
          <w:szCs w:val="24"/>
          <w:shd w:val="clear" w:color="auto" w:fill="FFFFFF"/>
        </w:rPr>
        <w:t>(2016): 336-358.</w:t>
      </w:r>
    </w:p>
    <w:sectPr w:rsidR="00F961E4" w:rsidRPr="00085D30" w:rsidSect="00D953B3">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63F8" w:rsidRDefault="002E63F8" w:rsidP="00D953B3">
      <w:pPr>
        <w:spacing w:after="0" w:line="240" w:lineRule="auto"/>
      </w:pPr>
      <w:r>
        <w:separator/>
      </w:r>
    </w:p>
  </w:endnote>
  <w:endnote w:type="continuationSeparator" w:id="1">
    <w:p w:rsidR="002E63F8" w:rsidRDefault="002E63F8" w:rsidP="00D953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63F8" w:rsidRDefault="002E63F8" w:rsidP="00D953B3">
      <w:pPr>
        <w:spacing w:after="0" w:line="240" w:lineRule="auto"/>
      </w:pPr>
      <w:r>
        <w:separator/>
      </w:r>
    </w:p>
  </w:footnote>
  <w:footnote w:type="continuationSeparator" w:id="1">
    <w:p w:rsidR="002E63F8" w:rsidRDefault="002E63F8" w:rsidP="00D953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3B3" w:rsidRPr="00D953B3" w:rsidRDefault="00D953B3" w:rsidP="00D953B3">
    <w:pPr>
      <w:pStyle w:val="Header"/>
      <w:spacing w:line="480" w:lineRule="auto"/>
      <w:rPr>
        <w:rFonts w:ascii="Times New Roman" w:hAnsi="Times New Roman" w:cs="Times New Roman"/>
        <w:sz w:val="24"/>
        <w:szCs w:val="24"/>
      </w:rPr>
    </w:pPr>
    <w:r>
      <w:t xml:space="preserve">                                                                                                                                                                 </w:t>
    </w:r>
    <w:r w:rsidRPr="00D953B3">
      <w:rPr>
        <w:rFonts w:ascii="Times New Roman" w:hAnsi="Times New Roman" w:cs="Times New Roman"/>
        <w:sz w:val="24"/>
        <w:szCs w:val="24"/>
      </w:rPr>
      <w:t xml:space="preserve">     Surname </w:t>
    </w:r>
    <w:r w:rsidRPr="00D953B3">
      <w:rPr>
        <w:rFonts w:ascii="Times New Roman" w:hAnsi="Times New Roman" w:cs="Times New Roman"/>
        <w:sz w:val="24"/>
        <w:szCs w:val="24"/>
      </w:rPr>
      <w:fldChar w:fldCharType="begin"/>
    </w:r>
    <w:r w:rsidRPr="00D953B3">
      <w:rPr>
        <w:rFonts w:ascii="Times New Roman" w:hAnsi="Times New Roman" w:cs="Times New Roman"/>
        <w:sz w:val="24"/>
        <w:szCs w:val="24"/>
      </w:rPr>
      <w:instrText xml:space="preserve"> PAGE   \* MERGEFORMAT </w:instrText>
    </w:r>
    <w:r w:rsidRPr="00D953B3">
      <w:rPr>
        <w:rFonts w:ascii="Times New Roman" w:hAnsi="Times New Roman" w:cs="Times New Roman"/>
        <w:sz w:val="24"/>
        <w:szCs w:val="24"/>
      </w:rPr>
      <w:fldChar w:fldCharType="separate"/>
    </w:r>
    <w:r w:rsidR="00085D30">
      <w:rPr>
        <w:rFonts w:ascii="Times New Roman" w:hAnsi="Times New Roman" w:cs="Times New Roman"/>
        <w:noProof/>
        <w:sz w:val="24"/>
        <w:szCs w:val="24"/>
      </w:rPr>
      <w:t>5</w:t>
    </w:r>
    <w:r w:rsidRPr="00D953B3">
      <w:rPr>
        <w:rFonts w:ascii="Times New Roman" w:hAnsi="Times New Roman" w:cs="Times New Roman"/>
        <w:sz w:val="24"/>
        <w:szCs w:val="24"/>
      </w:rPr>
      <w:fldChar w:fldCharType="end"/>
    </w:r>
  </w:p>
  <w:p w:rsidR="00D953B3" w:rsidRDefault="00D953B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61206"/>
      <w:placeholder>
        <w:docPart w:val="3C55363EAF6D4114B7AF4C0E676B8638"/>
      </w:placeholder>
      <w:temporary/>
      <w:showingPlcHdr/>
    </w:sdtPr>
    <w:sdtContent>
      <w:p w:rsidR="00D953B3" w:rsidRDefault="00D953B3">
        <w:pPr>
          <w:pStyle w:val="Header"/>
        </w:pPr>
        <w:r>
          <w:t>[Type text]</w:t>
        </w:r>
      </w:p>
    </w:sdtContent>
  </w:sdt>
  <w:p w:rsidR="00D953B3" w:rsidRPr="00D953B3" w:rsidRDefault="00D953B3" w:rsidP="00D953B3">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333C8"/>
    <w:rsid w:val="00085D30"/>
    <w:rsid w:val="002E63F8"/>
    <w:rsid w:val="003C1EAD"/>
    <w:rsid w:val="004A56D7"/>
    <w:rsid w:val="005E602E"/>
    <w:rsid w:val="00D333C8"/>
    <w:rsid w:val="00D953B3"/>
    <w:rsid w:val="00DD265A"/>
    <w:rsid w:val="00E6194C"/>
    <w:rsid w:val="00F961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265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53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3B3"/>
  </w:style>
  <w:style w:type="paragraph" w:styleId="Footer">
    <w:name w:val="footer"/>
    <w:basedOn w:val="Normal"/>
    <w:link w:val="FooterChar"/>
    <w:uiPriority w:val="99"/>
    <w:semiHidden/>
    <w:unhideWhenUsed/>
    <w:rsid w:val="00D953B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953B3"/>
  </w:style>
  <w:style w:type="paragraph" w:styleId="BalloonText">
    <w:name w:val="Balloon Text"/>
    <w:basedOn w:val="Normal"/>
    <w:link w:val="BalloonTextChar"/>
    <w:uiPriority w:val="99"/>
    <w:semiHidden/>
    <w:unhideWhenUsed/>
    <w:rsid w:val="00D953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53B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3C55363EAF6D4114B7AF4C0E676B8638"/>
        <w:category>
          <w:name w:val="General"/>
          <w:gallery w:val="placeholder"/>
        </w:category>
        <w:types>
          <w:type w:val="bbPlcHdr"/>
        </w:types>
        <w:behaviors>
          <w:behavior w:val="content"/>
        </w:behaviors>
        <w:guid w:val="{596C8B96-BC96-4D7A-9E8C-D5B665485975}"/>
      </w:docPartPr>
      <w:docPartBody>
        <w:p w:rsidR="00000000" w:rsidRDefault="003909FD" w:rsidP="003909FD">
          <w:pPr>
            <w:pStyle w:val="3C55363EAF6D4114B7AF4C0E676B8638"/>
          </w:pPr>
          <w:r>
            <w:t>[Type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909FD"/>
    <w:rsid w:val="003909FD"/>
    <w:rsid w:val="00413C9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7923EDC9E9E47249E720007350AD361">
    <w:name w:val="C7923EDC9E9E47249E720007350AD361"/>
    <w:rsid w:val="003909FD"/>
  </w:style>
  <w:style w:type="paragraph" w:customStyle="1" w:styleId="3C55363EAF6D4114B7AF4C0E676B8638">
    <w:name w:val="3C55363EAF6D4114B7AF4C0E676B8638"/>
    <w:rsid w:val="003909FD"/>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919</Words>
  <Characters>5243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2018-02-22T12:46:00Z</dcterms:created>
  <dcterms:modified xsi:type="dcterms:W3CDTF">2018-02-22T12:46:00Z</dcterms:modified>
</cp:coreProperties>
</file>